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088" w:type="dxa"/>
        <w:jc w:val="center"/>
        <w:tblLook w:val="04A0" w:firstRow="1" w:lastRow="0" w:firstColumn="1" w:lastColumn="0" w:noHBand="0" w:noVBand="1"/>
      </w:tblPr>
      <w:tblGrid>
        <w:gridCol w:w="1384"/>
        <w:gridCol w:w="4349"/>
        <w:gridCol w:w="3654"/>
        <w:gridCol w:w="5701"/>
      </w:tblGrid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b/>
                <w:sz w:val="18"/>
              </w:rPr>
            </w:pPr>
            <w:r w:rsidRPr="008D578C">
              <w:rPr>
                <w:b/>
                <w:sz w:val="18"/>
              </w:rPr>
              <w:t>Date prévue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b/>
                <w:sz w:val="18"/>
              </w:rPr>
            </w:pPr>
            <w:r w:rsidRPr="008D578C">
              <w:rPr>
                <w:b/>
                <w:sz w:val="18"/>
              </w:rPr>
              <w:t>Prévisions issues du CA du 29 novembre 2016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b/>
                <w:sz w:val="18"/>
              </w:rPr>
            </w:pPr>
            <w:r w:rsidRPr="008D578C">
              <w:rPr>
                <w:b/>
                <w:sz w:val="18"/>
              </w:rPr>
              <w:t>Niveau mis en œuvre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b/>
                <w:sz w:val="18"/>
              </w:rPr>
            </w:pPr>
            <w:r w:rsidRPr="008D578C">
              <w:rPr>
                <w:b/>
                <w:sz w:val="18"/>
              </w:rPr>
              <w:t>Commentaires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 w:val="restart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31/12/2016</w:t>
            </w:r>
          </w:p>
          <w:p w:rsidR="008D578C" w:rsidRPr="008D578C" w:rsidRDefault="008D578C" w:rsidP="00463CD5">
            <w:pPr>
              <w:rPr>
                <w:sz w:val="18"/>
              </w:rPr>
            </w:pPr>
          </w:p>
          <w:p w:rsidR="008D578C" w:rsidRPr="008D578C" w:rsidRDefault="008D578C" w:rsidP="00463CD5">
            <w:pPr>
              <w:rPr>
                <w:sz w:val="18"/>
              </w:rPr>
            </w:pPr>
          </w:p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Libération de 7 agents pour cause économique car pris en charge sur PRODIAG qui a fini son budget FINEX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Procédure engagée le 5 décembre et réalisée depuis le 6 janvier 2017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Contestation sur niveau des ISR en cours d’étude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Démission du Chef de composante Aménagement.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A voulu se positionner en prestataire privé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C’est effectif depuis le 31 décembre 2016 et suite à son prévis de 3 mois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Fin contrat non renouvelé du RP Estuaire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Procédure effective depuis le 31 décembre 2016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L’Estuaire est suivi par l’équipe centrale. Le centre de </w:t>
            </w:r>
            <w:proofErr w:type="spellStart"/>
            <w:r w:rsidRPr="008D578C">
              <w:rPr>
                <w:sz w:val="18"/>
              </w:rPr>
              <w:t>Ntoum</w:t>
            </w:r>
            <w:proofErr w:type="spellEnd"/>
            <w:r w:rsidRPr="008D578C">
              <w:rPr>
                <w:sz w:val="18"/>
              </w:rPr>
              <w:t xml:space="preserve"> a été fermé le 6 janvier 2017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Arrêt contrat de l’assistante </w:t>
            </w:r>
            <w:proofErr w:type="spellStart"/>
            <w:r w:rsidRPr="008D578C">
              <w:rPr>
                <w:sz w:val="18"/>
              </w:rPr>
              <w:t>Agrisud</w:t>
            </w:r>
            <w:proofErr w:type="spellEnd"/>
            <w:r w:rsidRPr="008D578C">
              <w:rPr>
                <w:sz w:val="18"/>
              </w:rPr>
              <w:t xml:space="preserve"> chargée du suivi opérationnel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Procédure effective depuis le 15 décembre 2016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Le remplacement est assuré par un agent de la composante ACP qui a été muté à ce poste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Demande de remise à disposition de l’administration des 2 fonctionnaires en situation de détachement faute de moyens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La demande a été transmise à l’Administrateur de l’IGAD le 19 décembre, mais elle a été rejetée.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Proposition d’un budget additionnel de 93 M F CFA afin de supporter le maintien des 2 fonctionnaires jusqu’au 31 décembre 2017. 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Paiement des prestations des 33 agents pour la période du 01/07/2016 au 30/09/2016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Ce montant sur fonds de contrepartie a été versé le 30 décembre sur le montant global attendu dans le cadre de la régularisation du virement effectué le 24 juin sur compte n’appartenant pas à l’IGAD. 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Ce versement a permis le règlement partiel de leurs indemnités. Nous continuons à relancer le Trésor pour la suite des versements. 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Remboursement aux caisses d’avance AFD des préfinancements des dépenses inéligibles (Impôts sur les marchés PRODIAG, TVA…)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Cette somme, sortie pour le remboursement, constituera un élément de blocage pour justification des caisses d’avances en cas de non-paiement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Ce montant fait partie d’un fonds de 2015 réalloué en 2016 et il est toujours attendu.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Participation à la mise en œuvre des objectifs  sur contrepartie Etat (Impôts sur les marchés FAIA, TVA…)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Ces parties ne seront contractualisées que si les fonds sont disponibles. 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  <w:vMerge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Signature avenant N°2 pour report date de mobilisation des fonds et révisions de la répartition budgétaire par composante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Avenant signé le 30 décembre 2016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Il permet la mobilisation de l’ensemble du reliquat du FINEX.</w:t>
            </w:r>
          </w:p>
        </w:tc>
      </w:tr>
    </w:tbl>
    <w:p w:rsidR="008D578C" w:rsidRDefault="00107C5B">
      <w:r>
        <w:t xml:space="preserve"> </w:t>
      </w:r>
    </w:p>
    <w:p w:rsidR="008D578C" w:rsidRDefault="008D578C"/>
    <w:p w:rsidR="008D578C" w:rsidRDefault="008D578C"/>
    <w:tbl>
      <w:tblPr>
        <w:tblStyle w:val="Grilledutableau"/>
        <w:tblW w:w="15088" w:type="dxa"/>
        <w:jc w:val="center"/>
        <w:tblLook w:val="04A0" w:firstRow="1" w:lastRow="0" w:firstColumn="1" w:lastColumn="0" w:noHBand="0" w:noVBand="1"/>
      </w:tblPr>
      <w:tblGrid>
        <w:gridCol w:w="1384"/>
        <w:gridCol w:w="4349"/>
        <w:gridCol w:w="3654"/>
        <w:gridCol w:w="5701"/>
      </w:tblGrid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lastRenderedPageBreak/>
              <w:t>31/01/2017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Présentation mémoire 19 PRODIAG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Mémoire en cours de transmission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Ce dernier ré abondement de la caisse d’avance du PRODIAG par le FINEX doit permettre le fonctionnement à effectif réduit jusqu’au 30 avril 2017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16/01/2017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Poursuite avec dispositif de 18 personnes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La poursuite se fait avec 20 personnes compte tenu du maintien des 2 fonctionnaires.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Réorganisation du personnel restant afin de continuer à suivre les marchés en cours et les installations à effectuer. </w:t>
            </w: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30/04/2017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Fin de la mobilisation des fonds du FINEX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A la demande du CA, proposition d’un budget complémentaire de 385 M FCFA pour la mise en place d’un système de suivi opérationnel dans le but de conserver les acquis.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 xml:space="preserve">Sans la mobilisation du budget additionnel, l’IGAD ne pourra équilibrer son budget 2017. </w:t>
            </w:r>
            <w:bookmarkStart w:id="0" w:name="_GoBack"/>
            <w:bookmarkEnd w:id="0"/>
          </w:p>
        </w:tc>
      </w:tr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30/08/2017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Projet avec le CIRMF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Identification d’un nouveau partenaire financier espéré vers cette date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30/09/2017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Validation en conseil des ministres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Le DGFRA a le dossier technique et doit finaliser le budget</w:t>
            </w: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</w:tr>
      <w:tr w:rsidR="008D578C" w:rsidRPr="008D578C" w:rsidTr="008D578C">
        <w:trPr>
          <w:jc w:val="center"/>
        </w:trPr>
        <w:tc>
          <w:tcPr>
            <w:tcW w:w="1384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30/11/2017</w:t>
            </w:r>
          </w:p>
        </w:tc>
        <w:tc>
          <w:tcPr>
            <w:tcW w:w="4349" w:type="dxa"/>
          </w:tcPr>
          <w:p w:rsidR="008D578C" w:rsidRPr="008D578C" w:rsidRDefault="008D578C" w:rsidP="00463CD5">
            <w:pPr>
              <w:rPr>
                <w:sz w:val="18"/>
              </w:rPr>
            </w:pPr>
            <w:r w:rsidRPr="008D578C">
              <w:rPr>
                <w:sz w:val="18"/>
              </w:rPr>
              <w:t>Adoption par l’assemblée nationale du PRODIAG 2</w:t>
            </w:r>
          </w:p>
        </w:tc>
        <w:tc>
          <w:tcPr>
            <w:tcW w:w="3654" w:type="dxa"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  <w:tc>
          <w:tcPr>
            <w:tcW w:w="5701" w:type="dxa"/>
          </w:tcPr>
          <w:p w:rsidR="008D578C" w:rsidRPr="008D578C" w:rsidRDefault="008D578C" w:rsidP="00463CD5">
            <w:pPr>
              <w:rPr>
                <w:sz w:val="18"/>
              </w:rPr>
            </w:pPr>
          </w:p>
        </w:tc>
      </w:tr>
    </w:tbl>
    <w:p w:rsidR="00A0386F" w:rsidRDefault="00783DC7"/>
    <w:sectPr w:rsidR="00A0386F" w:rsidSect="00D53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0CD"/>
    <w:multiLevelType w:val="multilevel"/>
    <w:tmpl w:val="125C975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4F4593"/>
    <w:multiLevelType w:val="hybridMultilevel"/>
    <w:tmpl w:val="D92E5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91F91"/>
    <w:multiLevelType w:val="multilevel"/>
    <w:tmpl w:val="0C9620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5B"/>
    <w:rsid w:val="00107C5B"/>
    <w:rsid w:val="0026124E"/>
    <w:rsid w:val="00483B46"/>
    <w:rsid w:val="0063075C"/>
    <w:rsid w:val="00631506"/>
    <w:rsid w:val="00783DC7"/>
    <w:rsid w:val="008D578C"/>
    <w:rsid w:val="00BB2230"/>
    <w:rsid w:val="00BC382A"/>
    <w:rsid w:val="00D53919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5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07C5B"/>
    <w:pPr>
      <w:keepNext/>
      <w:keepLines/>
      <w:numPr>
        <w:numId w:val="3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B0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7C5B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B05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C5B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C5B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C5B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C5B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C5B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C5B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C5B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C5B"/>
    <w:rPr>
      <w:rFonts w:asciiTheme="majorHAnsi" w:eastAsiaTheme="majorEastAsia" w:hAnsiTheme="majorHAnsi" w:cstheme="majorBidi"/>
      <w:b/>
      <w:bCs/>
      <w:color w:val="00B0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07C5B"/>
    <w:rPr>
      <w:rFonts w:asciiTheme="majorHAnsi" w:eastAsiaTheme="majorEastAsia" w:hAnsiTheme="majorHAnsi" w:cstheme="majorBidi"/>
      <w:b/>
      <w:bCs/>
      <w:color w:val="00B0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07C5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07C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07C5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07C5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07C5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07C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7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07C5B"/>
    <w:pPr>
      <w:spacing w:after="200" w:line="276" w:lineRule="auto"/>
      <w:ind w:left="720"/>
      <w:contextualSpacing/>
      <w:jc w:val="both"/>
    </w:pPr>
    <w:rPr>
      <w:rFonts w:ascii="Arial" w:hAnsi="Arial" w:cs="Arial"/>
      <w:sz w:val="24"/>
    </w:rPr>
  </w:style>
  <w:style w:type="table" w:styleId="Grilledutableau">
    <w:name w:val="Table Grid"/>
    <w:basedOn w:val="TableauNormal"/>
    <w:uiPriority w:val="59"/>
    <w:rsid w:val="00D5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5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07C5B"/>
    <w:pPr>
      <w:keepNext/>
      <w:keepLines/>
      <w:numPr>
        <w:numId w:val="3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B0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7C5B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B05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C5B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C5B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C5B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C5B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C5B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C5B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C5B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C5B"/>
    <w:rPr>
      <w:rFonts w:asciiTheme="majorHAnsi" w:eastAsiaTheme="majorEastAsia" w:hAnsiTheme="majorHAnsi" w:cstheme="majorBidi"/>
      <w:b/>
      <w:bCs/>
      <w:color w:val="00B0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07C5B"/>
    <w:rPr>
      <w:rFonts w:asciiTheme="majorHAnsi" w:eastAsiaTheme="majorEastAsia" w:hAnsiTheme="majorHAnsi" w:cstheme="majorBidi"/>
      <w:b/>
      <w:bCs/>
      <w:color w:val="00B05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07C5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07C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07C5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07C5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07C5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07C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7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07C5B"/>
    <w:pPr>
      <w:spacing w:after="200" w:line="276" w:lineRule="auto"/>
      <w:ind w:left="720"/>
      <w:contextualSpacing/>
      <w:jc w:val="both"/>
    </w:pPr>
    <w:rPr>
      <w:rFonts w:ascii="Arial" w:hAnsi="Arial" w:cs="Arial"/>
      <w:sz w:val="24"/>
    </w:rPr>
  </w:style>
  <w:style w:type="table" w:styleId="Grilledutableau">
    <w:name w:val="Table Grid"/>
    <w:basedOn w:val="TableauNormal"/>
    <w:uiPriority w:val="59"/>
    <w:rsid w:val="00D5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perky</dc:creator>
  <cp:lastModifiedBy>perky</cp:lastModifiedBy>
  <cp:revision>1</cp:revision>
  <cp:lastPrinted>2017-03-08T12:10:00Z</cp:lastPrinted>
  <dcterms:created xsi:type="dcterms:W3CDTF">2017-03-07T12:45:00Z</dcterms:created>
  <dcterms:modified xsi:type="dcterms:W3CDTF">2017-03-08T12:45:00Z</dcterms:modified>
</cp:coreProperties>
</file>